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w:t>
            </w:r>
            <w:proofErr w:type="spellStart"/>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proofErr w:type="spellEnd"/>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BADBD61" w:rsidR="001C5B51" w:rsidRPr="00C8478F" w:rsidRDefault="004B511D" w:rsidP="00001284">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04507B">
              <w:rPr>
                <w:rFonts w:ascii="Times New Roman" w:hAnsi="Times New Roman" w:cs="Times New Roman"/>
              </w:rPr>
              <w:t>КП</w:t>
            </w:r>
            <w:r w:rsidR="00EF633C">
              <w:rPr>
                <w:rFonts w:ascii="Times New Roman" w:hAnsi="Times New Roman" w:cs="Times New Roman"/>
                <w:lang w:val="ru-RU"/>
              </w:rPr>
              <w:t xml:space="preserve"> «</w:t>
            </w:r>
            <w:r w:rsidR="0004507B">
              <w:rPr>
                <w:rFonts w:ascii="Times New Roman" w:hAnsi="Times New Roman" w:cs="Times New Roman"/>
              </w:rPr>
              <w:t xml:space="preserve"> </w:t>
            </w:r>
            <w:proofErr w:type="spellStart"/>
            <w:r w:rsidR="00001284">
              <w:rPr>
                <w:rFonts w:ascii="Times New Roman" w:hAnsi="Times New Roman" w:cs="Times New Roman"/>
                <w:lang w:val="ru-RU"/>
              </w:rPr>
              <w:t>Кривбасводоканал</w:t>
            </w:r>
            <w:proofErr w:type="spellEnd"/>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001284">
              <w:rPr>
                <w:rFonts w:ascii="Times New Roman" w:hAnsi="Times New Roman" w:cs="Times New Roman"/>
                <w:sz w:val="24"/>
                <w:szCs w:val="24"/>
                <w:lang w:val="ru-RU"/>
              </w:rPr>
              <w:t>17 316,00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0BEDC5FA" w14:textId="741DB5AC" w:rsidR="00882ABC" w:rsidRPr="006D7EDE" w:rsidRDefault="00882ABC" w:rsidP="00001284">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D7EDE">
              <w:rPr>
                <w:rFonts w:ascii="Times New Roman" w:hAnsi="Times New Roman" w:cs="Times New Roman"/>
                <w:sz w:val="24"/>
                <w:szCs w:val="24"/>
              </w:rPr>
              <w:t>5</w:t>
            </w:r>
            <w:r>
              <w:rPr>
                <w:rFonts w:ascii="Times New Roman" w:hAnsi="Times New Roman" w:cs="Times New Roman"/>
                <w:sz w:val="24"/>
                <w:szCs w:val="24"/>
                <w:lang w:val="en-US"/>
              </w:rPr>
              <w:t>-</w:t>
            </w:r>
            <w:r w:rsidR="006D7EDE">
              <w:rPr>
                <w:rFonts w:ascii="Times New Roman" w:hAnsi="Times New Roman" w:cs="Times New Roman"/>
                <w:sz w:val="24"/>
                <w:szCs w:val="24"/>
                <w:lang w:val="ru-RU"/>
              </w:rPr>
              <w:t>18</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EF633C">
              <w:rPr>
                <w:rFonts w:ascii="Times New Roman" w:hAnsi="Times New Roman" w:cs="Times New Roman"/>
                <w:sz w:val="24"/>
                <w:szCs w:val="24"/>
                <w:lang w:val="ru-RU"/>
              </w:rPr>
              <w:t>5</w:t>
            </w:r>
            <w:r w:rsidR="00071B94">
              <w:rPr>
                <w:rFonts w:ascii="Times New Roman" w:hAnsi="Times New Roman" w:cs="Times New Roman"/>
                <w:sz w:val="24"/>
                <w:szCs w:val="24"/>
                <w:lang w:val="ru-RU"/>
              </w:rPr>
              <w:t>3</w:t>
            </w:r>
            <w:r w:rsidR="00001284">
              <w:rPr>
                <w:rFonts w:ascii="Times New Roman" w:hAnsi="Times New Roman" w:cs="Times New Roman"/>
                <w:sz w:val="24"/>
                <w:szCs w:val="24"/>
                <w:lang w:val="ru-RU"/>
              </w:rPr>
              <w:t>26</w:t>
            </w:r>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60E6" w14:textId="77777777" w:rsidR="00600D80" w:rsidRDefault="00600D80" w:rsidP="00AD6501">
      <w:pPr>
        <w:spacing w:after="0" w:line="240" w:lineRule="auto"/>
      </w:pPr>
      <w:r>
        <w:separator/>
      </w:r>
    </w:p>
  </w:endnote>
  <w:endnote w:type="continuationSeparator" w:id="0">
    <w:p w14:paraId="65545ECB" w14:textId="77777777" w:rsidR="00600D80" w:rsidRDefault="00600D80"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BDC6" w14:textId="77777777" w:rsidR="00600D80" w:rsidRDefault="00600D80" w:rsidP="00AD6501">
      <w:pPr>
        <w:spacing w:after="0" w:line="240" w:lineRule="auto"/>
      </w:pPr>
      <w:r>
        <w:separator/>
      </w:r>
    </w:p>
  </w:footnote>
  <w:footnote w:type="continuationSeparator" w:id="0">
    <w:p w14:paraId="62C3EB0A" w14:textId="77777777" w:rsidR="00600D80" w:rsidRDefault="00600D80"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61BA6"/>
    <w:rsid w:val="00493AA4"/>
    <w:rsid w:val="004A564F"/>
    <w:rsid w:val="004B395C"/>
    <w:rsid w:val="004B41D5"/>
    <w:rsid w:val="004B511D"/>
    <w:rsid w:val="004E3E31"/>
    <w:rsid w:val="004F6ABE"/>
    <w:rsid w:val="0050202C"/>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0D80"/>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69F6-0A16-44B0-AD9F-CC8660F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Kseniya Rybalchenko</cp:lastModifiedBy>
  <cp:revision>2</cp:revision>
  <cp:lastPrinted>2021-03-26T10:20:00Z</cp:lastPrinted>
  <dcterms:created xsi:type="dcterms:W3CDTF">2021-05-25T08:23:00Z</dcterms:created>
  <dcterms:modified xsi:type="dcterms:W3CDTF">2021-05-25T08:23:00Z</dcterms:modified>
</cp:coreProperties>
</file>