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A575D1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1AB0A3B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онту 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0A6A9BAF" w14:textId="77777777" w:rsidR="004C5EAD" w:rsidRPr="005628AE" w:rsidRDefault="004C5EAD" w:rsidP="00C54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6F5318B" w14:textId="403A64C4" w:rsidR="005628AE" w:rsidRPr="005628AE" w:rsidRDefault="005628AE" w:rsidP="00C54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UA-2021-06-18-008407-c.</w:t>
            </w:r>
          </w:p>
        </w:tc>
      </w:tr>
      <w:tr w:rsidR="002247AD" w:rsidRPr="005628AE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65D55549" w:rsidR="004708F1" w:rsidRPr="002247AD" w:rsidRDefault="008D249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315 830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3B618FA3" w:rsidR="004708F1" w:rsidRPr="002247AD" w:rsidRDefault="008D249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315 830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06947A48" w:rsidR="004708F1" w:rsidRPr="008D249D" w:rsidRDefault="000206EF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9D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r w:rsidR="008D249D" w:rsidRPr="008D249D">
              <w:rPr>
                <w:rFonts w:ascii="Times New Roman" w:hAnsi="Times New Roman"/>
                <w:kern w:val="1"/>
                <w:sz w:val="24"/>
                <w:szCs w:val="24"/>
              </w:rPr>
              <w:t xml:space="preserve"> управління патрульної поліції у Київській області</w:t>
            </w:r>
            <w:r w:rsidR="008D249D" w:rsidRPr="008D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D65" w:rsidRPr="008D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596" w:rsidRPr="008D249D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C71D65" w:rsidRPr="008D24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1596" w:rsidRPr="008D249D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завдань та функціональних обов’язків, використовуються службові автомобілі</w:t>
            </w:r>
            <w:r w:rsidR="004C684D" w:rsidRPr="008D24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1596" w:rsidRPr="008D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 w:rsidRPr="008D24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8D249D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8D24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8D249D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8D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8D249D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8D249D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8D249D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8D249D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8D249D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8D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398" w:rsidRPr="008D249D">
              <w:rPr>
                <w:rFonts w:ascii="Times New Roman" w:hAnsi="Times New Roman" w:cs="Times New Roman"/>
                <w:sz w:val="24"/>
                <w:szCs w:val="24"/>
              </w:rPr>
              <w:t xml:space="preserve">та проводити поточний ремонт </w:t>
            </w:r>
            <w:r w:rsidR="00A532FA" w:rsidRPr="008D249D">
              <w:rPr>
                <w:rFonts w:ascii="Times New Roman" w:hAnsi="Times New Roman" w:cs="Times New Roman"/>
                <w:sz w:val="24"/>
                <w:szCs w:val="24"/>
              </w:rPr>
              <w:t xml:space="preserve">для подальшого безпечного та безперебійного їх </w:t>
            </w:r>
            <w:proofErr w:type="spellStart"/>
            <w:r w:rsidR="00A532FA" w:rsidRPr="008D249D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C71D65" w:rsidRPr="008D249D">
              <w:rPr>
                <w:rFonts w:ascii="Times New Roman" w:hAnsi="Times New Roman" w:cs="Times New Roman"/>
                <w:sz w:val="24"/>
                <w:szCs w:val="24"/>
              </w:rPr>
              <w:t xml:space="preserve"> (за рахунок наданої субвенції).</w:t>
            </w:r>
            <w:r w:rsidR="009612E9" w:rsidRPr="008D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596" w:rsidRPr="008D249D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становить </w:t>
            </w:r>
            <w:r w:rsidR="004C684D" w:rsidRPr="008D249D">
              <w:rPr>
                <w:rFonts w:ascii="Times New Roman" w:hAnsi="Times New Roman" w:cs="Times New Roman"/>
                <w:sz w:val="24"/>
                <w:szCs w:val="24"/>
              </w:rPr>
              <w:t xml:space="preserve">від 10 000 км. до </w:t>
            </w:r>
            <w:r w:rsidR="000E28DA" w:rsidRPr="008D249D">
              <w:rPr>
                <w:rFonts w:ascii="Times New Roman" w:hAnsi="Times New Roman" w:cs="Times New Roman"/>
                <w:sz w:val="24"/>
                <w:szCs w:val="24"/>
              </w:rPr>
              <w:t>15 000 км. пробігу</w:t>
            </w:r>
            <w:r w:rsidR="003C1596" w:rsidRPr="008D24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206EF"/>
    <w:rsid w:val="000A5E0F"/>
    <w:rsid w:val="000E28DA"/>
    <w:rsid w:val="001B095A"/>
    <w:rsid w:val="002247AD"/>
    <w:rsid w:val="00386F6A"/>
    <w:rsid w:val="003C1596"/>
    <w:rsid w:val="004708F1"/>
    <w:rsid w:val="004C5EAD"/>
    <w:rsid w:val="004C684D"/>
    <w:rsid w:val="005628AE"/>
    <w:rsid w:val="00627F80"/>
    <w:rsid w:val="00676217"/>
    <w:rsid w:val="00877C66"/>
    <w:rsid w:val="008D249D"/>
    <w:rsid w:val="009612E9"/>
    <w:rsid w:val="00976AD4"/>
    <w:rsid w:val="009E0376"/>
    <w:rsid w:val="00A532FA"/>
    <w:rsid w:val="00A575D1"/>
    <w:rsid w:val="00A86609"/>
    <w:rsid w:val="00A97483"/>
    <w:rsid w:val="00BD1142"/>
    <w:rsid w:val="00BF49EE"/>
    <w:rsid w:val="00BF4CB9"/>
    <w:rsid w:val="00C1574C"/>
    <w:rsid w:val="00C32DCA"/>
    <w:rsid w:val="00C54D83"/>
    <w:rsid w:val="00C71D65"/>
    <w:rsid w:val="00CA5CCB"/>
    <w:rsid w:val="00D672CD"/>
    <w:rsid w:val="00E91EC4"/>
    <w:rsid w:val="00F05398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83D17-B817-41A2-9A2E-BA876D04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2021-06-18T11:04:00Z</dcterms:created>
  <dcterms:modified xsi:type="dcterms:W3CDTF">2021-06-18T11:04:00Z</dcterms:modified>
</cp:coreProperties>
</file>